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MediumList2-Accent1"/>
        <w:tblW w:w="5000" w:type="pct"/>
        <w:tblCellSpacing w:w="43" w:type="dxa"/>
        <w:tblCellMar>
          <w:left w:w="115" w:type="dxa"/>
          <w:right w:w="115" w:type="dxa"/>
        </w:tblCellMar>
        <w:tblLook w:val="04A0"/>
      </w:tblPr>
      <w:tblGrid>
        <w:gridCol w:w="1931"/>
        <w:gridCol w:w="3133"/>
        <w:gridCol w:w="2824"/>
        <w:gridCol w:w="3314"/>
      </w:tblGrid>
      <w:tr w:rsidR="00782917" w:rsidRPr="00782917" w:rsidTr="00E133E7">
        <w:trPr>
          <w:cnfStyle w:val="100000000000"/>
          <w:tblCellSpacing w:w="43" w:type="dxa"/>
        </w:trPr>
        <w:tc>
          <w:tcPr>
            <w:cnfStyle w:val="001000000100"/>
            <w:tcW w:w="0" w:type="auto"/>
            <w:gridSpan w:val="4"/>
            <w:shd w:val="clear" w:color="auto" w:fill="D9EAD5" w:themeFill="accent4" w:themeFillTint="33"/>
            <w:hideMark/>
          </w:tcPr>
          <w:p w:rsidR="00801A83" w:rsidRDefault="00421AB1" w:rsidP="00782917">
            <w:pPr>
              <w:jc w:val="center"/>
              <w:rPr>
                <w:rFonts w:ascii="Arial Black" w:eastAsia="Times New Roman" w:hAnsi="Arial Black" w:cs="Times New Roman"/>
                <w:color w:val="000000"/>
                <w:sz w:val="52"/>
                <w:szCs w:val="52"/>
              </w:rPr>
            </w:pPr>
            <w:r>
              <w:rPr>
                <w:rFonts w:ascii="Arial Black" w:eastAsia="Times New Roman" w:hAnsi="Arial Black" w:cs="Times New Roman"/>
                <w:noProof/>
                <w:color w:val="000000"/>
                <w:sz w:val="52"/>
                <w:szCs w:val="52"/>
              </w:rPr>
              <w:drawing>
                <wp:inline distT="0" distB="0" distL="0" distR="0">
                  <wp:extent cx="6857999" cy="4000500"/>
                  <wp:effectExtent l="19050" t="0" r="1" b="0"/>
                  <wp:docPr id="11" name="Picture 10" descr="gems--TOP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s--TOPPER2.gif"/>
                          <pic:cNvPicPr/>
                        </pic:nvPicPr>
                        <pic:blipFill>
                          <a:blip r:embed="rId7"/>
                          <a:stretch>
                            <a:fillRect/>
                          </a:stretch>
                        </pic:blipFill>
                        <pic:spPr>
                          <a:xfrm>
                            <a:off x="0" y="0"/>
                            <a:ext cx="6857999" cy="4000500"/>
                          </a:xfrm>
                          <a:prstGeom prst="rect">
                            <a:avLst/>
                          </a:prstGeom>
                        </pic:spPr>
                      </pic:pic>
                    </a:graphicData>
                  </a:graphic>
                </wp:inline>
              </w:drawing>
            </w:r>
          </w:p>
          <w:p w:rsidR="00801A83" w:rsidRPr="00801A83" w:rsidRDefault="00801A83" w:rsidP="00782917">
            <w:pPr>
              <w:jc w:val="center"/>
              <w:rPr>
                <w:rFonts w:ascii="Arial Black" w:eastAsia="Times New Roman" w:hAnsi="Arial Black" w:cs="Times New Roman"/>
                <w:color w:val="000000"/>
                <w:sz w:val="20"/>
                <w:szCs w:val="20"/>
              </w:rPr>
            </w:pPr>
          </w:p>
          <w:p w:rsidR="00E133E7" w:rsidRPr="00E133E7" w:rsidRDefault="00782917" w:rsidP="00782917">
            <w:pPr>
              <w:jc w:val="center"/>
              <w:rPr>
                <w:rFonts w:ascii="Arial Black" w:eastAsia="Times New Roman" w:hAnsi="Arial Black" w:cs="Times New Roman"/>
                <w:color w:val="000000"/>
                <w:sz w:val="52"/>
                <w:szCs w:val="52"/>
              </w:rPr>
            </w:pPr>
            <w:r w:rsidRPr="00E133E7">
              <w:rPr>
                <w:rFonts w:ascii="Arial Black" w:eastAsia="Times New Roman" w:hAnsi="Arial Black" w:cs="Times New Roman"/>
                <w:color w:val="000000"/>
                <w:sz w:val="52"/>
                <w:szCs w:val="52"/>
              </w:rPr>
              <w:t>G</w:t>
            </w:r>
            <w:r w:rsidR="00E133E7" w:rsidRPr="00E133E7">
              <w:rPr>
                <w:rFonts w:ascii="Arial Black" w:eastAsia="Times New Roman" w:hAnsi="Arial Black" w:cs="Times New Roman"/>
                <w:color w:val="000000"/>
                <w:sz w:val="52"/>
                <w:szCs w:val="52"/>
              </w:rPr>
              <w:t>EMSTONES</w:t>
            </w:r>
            <w:r w:rsidRPr="00E133E7">
              <w:rPr>
                <w:rFonts w:ascii="Arial Black" w:eastAsia="Times New Roman" w:hAnsi="Arial Black" w:cs="Times New Roman"/>
                <w:color w:val="000000"/>
                <w:sz w:val="52"/>
                <w:szCs w:val="52"/>
              </w:rPr>
              <w:t xml:space="preserve"> </w:t>
            </w:r>
            <w:r w:rsidR="00E133E7" w:rsidRPr="00E133E7">
              <w:rPr>
                <w:rFonts w:ascii="Arial Black" w:eastAsia="Times New Roman" w:hAnsi="Arial Black" w:cs="Times New Roman"/>
                <w:color w:val="000000"/>
                <w:sz w:val="52"/>
                <w:szCs w:val="52"/>
              </w:rPr>
              <w:t>OF THE BIBLE</w:t>
            </w:r>
          </w:p>
          <w:p w:rsidR="00782917" w:rsidRPr="00E133E7" w:rsidRDefault="00E133E7" w:rsidP="00782917">
            <w:pPr>
              <w:jc w:val="center"/>
              <w:rPr>
                <w:rFonts w:ascii="Cambria" w:eastAsia="Times New Roman" w:hAnsi="Cambria" w:cs="Times New Roman"/>
                <w:color w:val="000000"/>
                <w:sz w:val="44"/>
                <w:szCs w:val="44"/>
              </w:rPr>
            </w:pPr>
            <w:r w:rsidRPr="00E133E7">
              <w:rPr>
                <w:rFonts w:ascii="Cambria" w:eastAsia="Times New Roman" w:hAnsi="Cambria" w:cs="Times New Roman"/>
                <w:color w:val="000000"/>
                <w:sz w:val="44"/>
                <w:szCs w:val="44"/>
              </w:rPr>
              <w:t xml:space="preserve">And their </w:t>
            </w:r>
            <w:r w:rsidR="00782917" w:rsidRPr="00E133E7">
              <w:rPr>
                <w:rFonts w:ascii="Cambria" w:eastAsia="Times New Roman" w:hAnsi="Cambria" w:cs="Times New Roman"/>
                <w:color w:val="000000"/>
                <w:sz w:val="44"/>
                <w:szCs w:val="44"/>
              </w:rPr>
              <w:t>Biblical S</w:t>
            </w:r>
            <w:r w:rsidR="00782917" w:rsidRPr="00782917">
              <w:rPr>
                <w:rFonts w:ascii="Cambria" w:eastAsia="Times New Roman" w:hAnsi="Cambria" w:cs="Times New Roman"/>
                <w:color w:val="000000"/>
                <w:sz w:val="44"/>
                <w:szCs w:val="44"/>
              </w:rPr>
              <w:t>ignificance</w:t>
            </w:r>
          </w:p>
          <w:p w:rsidR="005417FE" w:rsidRPr="00782917" w:rsidRDefault="005417FE" w:rsidP="00782917">
            <w:pPr>
              <w:jc w:val="center"/>
              <w:rPr>
                <w:rFonts w:ascii="Cambria" w:eastAsia="Times New Roman" w:hAnsi="Cambria" w:cs="Times New Roman"/>
                <w:sz w:val="16"/>
                <w:szCs w:val="16"/>
              </w:rPr>
            </w:pPr>
          </w:p>
        </w:tc>
      </w:tr>
      <w:tr w:rsidR="00801A83" w:rsidRPr="00782917" w:rsidTr="00801A83">
        <w:trPr>
          <w:cnfStyle w:val="000000100000"/>
          <w:trHeight w:val="576"/>
          <w:tblCellSpacing w:w="43" w:type="dxa"/>
        </w:trPr>
        <w:tc>
          <w:tcPr>
            <w:cnfStyle w:val="001000000000"/>
            <w:tcW w:w="836" w:type="pct"/>
            <w:shd w:val="clear" w:color="auto" w:fill="BFAFCF" w:themeFill="accent5" w:themeFillTint="66"/>
            <w:vAlign w:val="center"/>
            <w:hideMark/>
          </w:tcPr>
          <w:p w:rsidR="00782917" w:rsidRPr="00782917" w:rsidRDefault="00782917" w:rsidP="00E133E7">
            <w:pPr>
              <w:jc w:val="center"/>
              <w:rPr>
                <w:rFonts w:ascii="Arial Black" w:eastAsia="Times New Roman" w:hAnsi="Arial Black" w:cs="Calibri"/>
                <w:b/>
                <w:sz w:val="24"/>
                <w:szCs w:val="24"/>
              </w:rPr>
            </w:pPr>
            <w:r w:rsidRPr="00782917">
              <w:rPr>
                <w:rFonts w:ascii="Arial Black" w:eastAsia="Times New Roman" w:hAnsi="Arial Black" w:cs="Calibri"/>
                <w:b/>
                <w:sz w:val="24"/>
                <w:szCs w:val="24"/>
              </w:rPr>
              <w:t>G</w:t>
            </w:r>
            <w:r w:rsidR="00801A83" w:rsidRPr="00801A83">
              <w:rPr>
                <w:rFonts w:ascii="Arial Black" w:eastAsia="Times New Roman" w:hAnsi="Arial Black" w:cs="Calibri"/>
                <w:b/>
                <w:sz w:val="24"/>
                <w:szCs w:val="24"/>
              </w:rPr>
              <w:t>EMSTON</w:t>
            </w:r>
            <w:r w:rsidR="00E133E7" w:rsidRPr="00801A83">
              <w:rPr>
                <w:rFonts w:ascii="Arial Black" w:eastAsia="Times New Roman" w:hAnsi="Arial Black" w:cs="Calibri"/>
                <w:b/>
                <w:sz w:val="24"/>
                <w:szCs w:val="24"/>
              </w:rPr>
              <w:t>E</w:t>
            </w:r>
            <w:r w:rsidR="00801A83" w:rsidRPr="00801A83">
              <w:rPr>
                <w:rFonts w:ascii="Arial Black" w:eastAsia="Times New Roman" w:hAnsi="Arial Black" w:cs="Calibri"/>
                <w:b/>
                <w:sz w:val="24"/>
                <w:szCs w:val="24"/>
              </w:rPr>
              <w:t xml:space="preserve"> </w:t>
            </w:r>
          </w:p>
        </w:tc>
        <w:tc>
          <w:tcPr>
            <w:tcW w:w="1329" w:type="pct"/>
            <w:shd w:val="clear" w:color="auto" w:fill="BFAFCF" w:themeFill="accent5" w:themeFillTint="66"/>
            <w:vAlign w:val="center"/>
            <w:hideMark/>
          </w:tcPr>
          <w:p w:rsidR="00782917" w:rsidRPr="00782917" w:rsidRDefault="00782917" w:rsidP="00E133E7">
            <w:pPr>
              <w:jc w:val="center"/>
              <w:cnfStyle w:val="000000100000"/>
              <w:rPr>
                <w:rFonts w:ascii="Arial Black" w:eastAsia="Times New Roman" w:hAnsi="Arial Black" w:cs="Calibri"/>
                <w:b/>
                <w:sz w:val="32"/>
                <w:szCs w:val="32"/>
              </w:rPr>
            </w:pPr>
            <w:r w:rsidRPr="00782917">
              <w:rPr>
                <w:rFonts w:ascii="Arial Black" w:eastAsia="Times New Roman" w:hAnsi="Arial Black" w:cs="Calibri"/>
                <w:b/>
                <w:sz w:val="32"/>
                <w:szCs w:val="32"/>
              </w:rPr>
              <w:t>Scripture</w:t>
            </w:r>
          </w:p>
        </w:tc>
        <w:tc>
          <w:tcPr>
            <w:tcW w:w="0" w:type="auto"/>
            <w:shd w:val="clear" w:color="auto" w:fill="BFAFCF" w:themeFill="accent5" w:themeFillTint="66"/>
            <w:vAlign w:val="center"/>
            <w:hideMark/>
          </w:tcPr>
          <w:p w:rsidR="00782917" w:rsidRPr="00782917" w:rsidRDefault="00782917" w:rsidP="00E133E7">
            <w:pPr>
              <w:jc w:val="center"/>
              <w:cnfStyle w:val="000000100000"/>
              <w:rPr>
                <w:rFonts w:ascii="Arial Black" w:eastAsia="Times New Roman" w:hAnsi="Arial Black" w:cs="Calibri"/>
                <w:b/>
                <w:sz w:val="32"/>
                <w:szCs w:val="32"/>
              </w:rPr>
            </w:pPr>
            <w:r w:rsidRPr="00782917">
              <w:rPr>
                <w:rFonts w:ascii="Arial Black" w:eastAsia="Times New Roman" w:hAnsi="Arial Black" w:cs="Calibri"/>
                <w:b/>
                <w:sz w:val="32"/>
                <w:szCs w:val="32"/>
              </w:rPr>
              <w:t>Symbol</w:t>
            </w:r>
          </w:p>
        </w:tc>
        <w:tc>
          <w:tcPr>
            <w:tcW w:w="0" w:type="auto"/>
            <w:shd w:val="clear" w:color="auto" w:fill="BFAFCF" w:themeFill="accent5" w:themeFillTint="66"/>
            <w:vAlign w:val="center"/>
            <w:hideMark/>
          </w:tcPr>
          <w:p w:rsidR="00782917" w:rsidRPr="00E133E7" w:rsidRDefault="00782917" w:rsidP="00E133E7">
            <w:pPr>
              <w:jc w:val="center"/>
              <w:cnfStyle w:val="000000100000"/>
              <w:rPr>
                <w:rFonts w:ascii="Arial Black" w:eastAsia="Times New Roman" w:hAnsi="Arial Black" w:cs="Calibri"/>
                <w:b/>
                <w:sz w:val="32"/>
                <w:szCs w:val="32"/>
              </w:rPr>
            </w:pPr>
            <w:r w:rsidRPr="00782917">
              <w:rPr>
                <w:rFonts w:ascii="Arial Black" w:eastAsia="Times New Roman" w:hAnsi="Arial Black" w:cs="Calibri"/>
                <w:b/>
                <w:sz w:val="32"/>
                <w:szCs w:val="32"/>
              </w:rPr>
              <w:t>Description</w:t>
            </w:r>
          </w:p>
          <w:p w:rsidR="005417FE" w:rsidRPr="00782917" w:rsidRDefault="005417FE" w:rsidP="00E133E7">
            <w:pPr>
              <w:jc w:val="center"/>
              <w:cnfStyle w:val="000000100000"/>
              <w:rPr>
                <w:rFonts w:ascii="Arial Black" w:eastAsia="Times New Roman" w:hAnsi="Arial Black" w:cs="Calibri"/>
                <w:b/>
                <w:sz w:val="2"/>
                <w:szCs w:val="2"/>
              </w:rPr>
            </w:pPr>
          </w:p>
        </w:tc>
      </w:tr>
      <w:tr w:rsidR="00801A83" w:rsidRPr="00782917" w:rsidTr="00801A83">
        <w:trPr>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AMBER</w:t>
            </w:r>
          </w:p>
        </w:tc>
        <w:tc>
          <w:tcPr>
            <w:tcW w:w="1329" w:type="pct"/>
            <w:vAlign w:val="center"/>
            <w:hideMark/>
          </w:tcPr>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Ez.1:4,27; 8:2</w:t>
            </w:r>
          </w:p>
        </w:tc>
        <w:tc>
          <w:tcPr>
            <w:tcW w:w="0" w:type="auto"/>
            <w:vAlign w:val="center"/>
            <w:hideMark/>
          </w:tcPr>
          <w:p w:rsidR="005417FE" w:rsidRDefault="005417FE" w:rsidP="005417FE">
            <w:pPr>
              <w:cnfStyle w:val="000000000000"/>
              <w:rPr>
                <w:rFonts w:ascii="Verdana" w:eastAsia="Times New Roman" w:hAnsi="Verdana" w:cs="Times New Roman"/>
                <w:sz w:val="20"/>
                <w:szCs w:val="20"/>
              </w:rPr>
            </w:pPr>
          </w:p>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the presence and glory of God in judgment, purification and sanctification</w:t>
            </w:r>
          </w:p>
        </w:tc>
        <w:tc>
          <w:tcPr>
            <w:tcW w:w="0" w:type="auto"/>
            <w:vAlign w:val="center"/>
            <w:hideMark/>
          </w:tcPr>
          <w:p w:rsidR="005417FE" w:rsidRDefault="005417FE" w:rsidP="005417FE">
            <w:pPr>
              <w:cnfStyle w:val="000000000000"/>
              <w:rPr>
                <w:rFonts w:ascii="Verdana" w:eastAsia="Times New Roman" w:hAnsi="Verdana" w:cs="Times New Roman"/>
                <w:sz w:val="15"/>
                <w:szCs w:val="15"/>
              </w:rPr>
            </w:pPr>
          </w:p>
          <w:p w:rsidR="00782917" w:rsidRDefault="000D2470" w:rsidP="005417FE">
            <w:pPr>
              <w:cnfStyle w:val="000000000000"/>
              <w:rPr>
                <w:rFonts w:ascii="Verdana" w:eastAsia="Times New Roman" w:hAnsi="Verdana" w:cs="Times New Roman"/>
                <w:sz w:val="15"/>
                <w:szCs w:val="15"/>
              </w:rPr>
            </w:pPr>
            <w:r>
              <w:rPr>
                <w:rFonts w:ascii="Verdana" w:eastAsia="Times New Roman" w:hAnsi="Verdana" w:cs="Times New Roman"/>
                <w:sz w:val="15"/>
                <w:szCs w:val="15"/>
              </w:rPr>
              <w:t>H</w:t>
            </w:r>
            <w:r w:rsidR="00782917" w:rsidRPr="00782917">
              <w:rPr>
                <w:rFonts w:ascii="Verdana" w:eastAsia="Times New Roman" w:hAnsi="Verdana" w:cs="Times New Roman"/>
                <w:sz w:val="15"/>
                <w:szCs w:val="15"/>
              </w:rPr>
              <w:t>ard, translucent, brownish-yellow, sometimes a glowing bronze, fossil resin of pine trees. The sweet fragrance of true Amber is quite distinct. Mainly found along the Baltic coasts of Poland, the Soviet Union, and Greece [in ancient ruins of Mycenae City].</w:t>
            </w:r>
          </w:p>
          <w:p w:rsidR="005417FE" w:rsidRPr="00782917" w:rsidRDefault="005417FE" w:rsidP="005417FE">
            <w:pPr>
              <w:cnfStyle w:val="000000000000"/>
              <w:rPr>
                <w:rFonts w:ascii="Times New Roman" w:eastAsia="Times New Roman" w:hAnsi="Times New Roman" w:cs="Times New Roman"/>
                <w:sz w:val="24"/>
                <w:szCs w:val="24"/>
              </w:rPr>
            </w:pPr>
          </w:p>
        </w:tc>
      </w:tr>
      <w:tr w:rsidR="00421AB1" w:rsidRPr="00782917" w:rsidTr="00801A83">
        <w:trPr>
          <w:cnfStyle w:val="000000100000"/>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rPr>
            </w:pPr>
            <w:r w:rsidRPr="00782917">
              <w:rPr>
                <w:rFonts w:ascii="Arial Black" w:eastAsia="Times New Roman" w:hAnsi="Arial Black" w:cs="Calibri"/>
                <w:b/>
              </w:rPr>
              <w:t>AMETHYST</w:t>
            </w:r>
          </w:p>
        </w:tc>
        <w:tc>
          <w:tcPr>
            <w:tcW w:w="1329" w:type="pct"/>
            <w:vAlign w:val="center"/>
            <w:hideMark/>
          </w:tcPr>
          <w:p w:rsidR="00782917" w:rsidRPr="00782917" w:rsidRDefault="00782917" w:rsidP="005417FE">
            <w:pPr>
              <w:cnfStyle w:val="000000100000"/>
              <w:rPr>
                <w:rFonts w:ascii="Times New Roman" w:eastAsia="Times New Roman" w:hAnsi="Times New Roman" w:cs="Times New Roman"/>
                <w:sz w:val="24"/>
                <w:szCs w:val="24"/>
              </w:rPr>
            </w:pPr>
            <w:r w:rsidRPr="00782917">
              <w:rPr>
                <w:rFonts w:ascii="Verdana" w:eastAsia="Times New Roman" w:hAnsi="Verdana" w:cs="Times New Roman"/>
                <w:sz w:val="20"/>
                <w:szCs w:val="20"/>
              </w:rPr>
              <w:t>Ex. 28:19, 39:1; Rev.21:20</w:t>
            </w:r>
          </w:p>
        </w:tc>
        <w:tc>
          <w:tcPr>
            <w:tcW w:w="0" w:type="auto"/>
            <w:vAlign w:val="center"/>
            <w:hideMark/>
          </w:tcPr>
          <w:p w:rsidR="005417FE" w:rsidRDefault="005417FE" w:rsidP="005417FE">
            <w:pPr>
              <w:cnfStyle w:val="000000100000"/>
              <w:rPr>
                <w:rFonts w:ascii="Verdana" w:eastAsia="Times New Roman" w:hAnsi="Verdana" w:cs="Times New Roman"/>
                <w:sz w:val="20"/>
                <w:szCs w:val="20"/>
              </w:rPr>
            </w:pPr>
          </w:p>
          <w:p w:rsidR="00782917" w:rsidRPr="00782917" w:rsidRDefault="00782917" w:rsidP="005417FE">
            <w:pPr>
              <w:cnfStyle w:val="000000100000"/>
              <w:rPr>
                <w:rFonts w:ascii="Times New Roman" w:eastAsia="Times New Roman" w:hAnsi="Times New Roman" w:cs="Times New Roman"/>
                <w:sz w:val="24"/>
                <w:szCs w:val="24"/>
              </w:rPr>
            </w:pPr>
            <w:r w:rsidRPr="00782917">
              <w:rPr>
                <w:rFonts w:ascii="Verdana" w:eastAsia="Times New Roman" w:hAnsi="Verdana" w:cs="Times New Roman"/>
                <w:sz w:val="20"/>
                <w:szCs w:val="20"/>
              </w:rPr>
              <w:t>the royal priesthood, kingship and majestic</w:t>
            </w:r>
          </w:p>
        </w:tc>
        <w:tc>
          <w:tcPr>
            <w:tcW w:w="0" w:type="auto"/>
            <w:vAlign w:val="center"/>
            <w:hideMark/>
          </w:tcPr>
          <w:p w:rsidR="005417FE" w:rsidRDefault="005417FE" w:rsidP="005417FE">
            <w:pPr>
              <w:cnfStyle w:val="000000100000"/>
              <w:rPr>
                <w:rFonts w:ascii="Verdana" w:eastAsia="Times New Roman" w:hAnsi="Verdana" w:cs="Times New Roman"/>
                <w:sz w:val="15"/>
                <w:szCs w:val="15"/>
              </w:rPr>
            </w:pPr>
          </w:p>
          <w:p w:rsidR="00782917" w:rsidRDefault="000D2470" w:rsidP="005417FE">
            <w:pPr>
              <w:cnfStyle w:val="000000100000"/>
              <w:rPr>
                <w:rFonts w:ascii="Verdana" w:eastAsia="Times New Roman" w:hAnsi="Verdana" w:cs="Times New Roman"/>
                <w:sz w:val="15"/>
                <w:szCs w:val="15"/>
              </w:rPr>
            </w:pPr>
            <w:r>
              <w:rPr>
                <w:rFonts w:ascii="Verdana" w:eastAsia="Times New Roman" w:hAnsi="Verdana" w:cs="Times New Roman"/>
                <w:sz w:val="15"/>
                <w:szCs w:val="15"/>
              </w:rPr>
              <w:t>R</w:t>
            </w:r>
            <w:r w:rsidR="00782917" w:rsidRPr="00782917">
              <w:rPr>
                <w:rFonts w:ascii="Verdana" w:eastAsia="Times New Roman" w:hAnsi="Verdana" w:cs="Times New Roman"/>
                <w:sz w:val="15"/>
                <w:szCs w:val="15"/>
              </w:rPr>
              <w:t>ich purple to blue-violet color of transparent quartz. The finest of these gems come from Brazil and Uruguay. It is the 9th stone decorating the high priests breastplate.</w:t>
            </w:r>
          </w:p>
          <w:p w:rsidR="005417FE" w:rsidRPr="00782917" w:rsidRDefault="005417FE" w:rsidP="005417FE">
            <w:pPr>
              <w:cnfStyle w:val="000000100000"/>
              <w:rPr>
                <w:rFonts w:ascii="Times New Roman" w:eastAsia="Times New Roman" w:hAnsi="Times New Roman" w:cs="Times New Roman"/>
                <w:sz w:val="24"/>
                <w:szCs w:val="24"/>
              </w:rPr>
            </w:pPr>
          </w:p>
        </w:tc>
      </w:tr>
      <w:tr w:rsidR="00801A83" w:rsidRPr="00782917" w:rsidTr="00801A83">
        <w:trPr>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DIAMOND</w:t>
            </w:r>
          </w:p>
        </w:tc>
        <w:tc>
          <w:tcPr>
            <w:tcW w:w="1329" w:type="pct"/>
            <w:vAlign w:val="center"/>
            <w:hideMark/>
          </w:tcPr>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Jer. 17:1; Ex. 28:18, 39:11; Eze. 28:13, 3:9; Zec. 7:12</w:t>
            </w:r>
          </w:p>
        </w:tc>
        <w:tc>
          <w:tcPr>
            <w:tcW w:w="0" w:type="auto"/>
            <w:vAlign w:val="center"/>
            <w:hideMark/>
          </w:tcPr>
          <w:p w:rsidR="005417FE" w:rsidRDefault="005417FE" w:rsidP="005417FE">
            <w:pPr>
              <w:cnfStyle w:val="000000000000"/>
              <w:rPr>
                <w:rFonts w:ascii="Verdana" w:eastAsia="Times New Roman" w:hAnsi="Verdana" w:cs="Times New Roman"/>
                <w:sz w:val="20"/>
                <w:szCs w:val="20"/>
              </w:rPr>
            </w:pPr>
          </w:p>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stability, brilliancy, virtuous and right standing with God</w:t>
            </w:r>
          </w:p>
        </w:tc>
        <w:tc>
          <w:tcPr>
            <w:tcW w:w="0" w:type="auto"/>
            <w:vAlign w:val="center"/>
            <w:hideMark/>
          </w:tcPr>
          <w:p w:rsidR="005417FE" w:rsidRDefault="005417FE" w:rsidP="005417FE">
            <w:pPr>
              <w:cnfStyle w:val="000000000000"/>
              <w:rPr>
                <w:rFonts w:ascii="Verdana" w:eastAsia="Times New Roman" w:hAnsi="Verdana" w:cs="Times New Roman"/>
                <w:sz w:val="15"/>
                <w:szCs w:val="15"/>
              </w:rPr>
            </w:pPr>
          </w:p>
          <w:p w:rsidR="00782917" w:rsidRDefault="00782917" w:rsidP="005417FE">
            <w:pPr>
              <w:cnfStyle w:val="000000000000"/>
              <w:rPr>
                <w:rFonts w:ascii="Verdana" w:eastAsia="Times New Roman" w:hAnsi="Verdana" w:cs="Times New Roman"/>
                <w:sz w:val="15"/>
                <w:szCs w:val="15"/>
              </w:rPr>
            </w:pPr>
            <w:r w:rsidRPr="00782917">
              <w:rPr>
                <w:rFonts w:ascii="Verdana" w:eastAsia="Times New Roman" w:hAnsi="Verdana" w:cs="Times New Roman"/>
                <w:sz w:val="15"/>
                <w:szCs w:val="15"/>
              </w:rPr>
              <w:t>Colorless; it is the hardest naturally occurring substance. The impurities add color, red being very rare. Africa is by far the largest producer; diamond is mostly mined in South Africa.</w:t>
            </w:r>
          </w:p>
          <w:p w:rsidR="005417FE" w:rsidRPr="00782917" w:rsidRDefault="005417FE" w:rsidP="005417FE">
            <w:pPr>
              <w:cnfStyle w:val="000000000000"/>
              <w:rPr>
                <w:rFonts w:ascii="Times New Roman" w:eastAsia="Times New Roman" w:hAnsi="Times New Roman" w:cs="Times New Roman"/>
                <w:sz w:val="24"/>
                <w:szCs w:val="24"/>
              </w:rPr>
            </w:pPr>
          </w:p>
        </w:tc>
      </w:tr>
      <w:tr w:rsidR="00421AB1" w:rsidRPr="00782917" w:rsidTr="00801A83">
        <w:trPr>
          <w:cnfStyle w:val="000000100000"/>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color w:val="FFFFFF" w:themeColor="background1"/>
                <w:sz w:val="24"/>
                <w:szCs w:val="24"/>
              </w:rPr>
            </w:pPr>
            <w:r w:rsidRPr="00801A83">
              <w:rPr>
                <w:rFonts w:ascii="Arial Black" w:eastAsia="Times New Roman" w:hAnsi="Arial Black" w:cs="Calibri"/>
                <w:b/>
                <w:color w:val="auto"/>
                <w:sz w:val="24"/>
                <w:szCs w:val="24"/>
              </w:rPr>
              <w:lastRenderedPageBreak/>
              <w:t>EMER</w:t>
            </w:r>
            <w:r w:rsidR="007338BB" w:rsidRPr="00801A83">
              <w:rPr>
                <w:rFonts w:ascii="Arial Black" w:eastAsia="Times New Roman" w:hAnsi="Arial Black" w:cs="Calibri"/>
                <w:b/>
                <w:color w:val="auto"/>
                <w:sz w:val="24"/>
                <w:szCs w:val="24"/>
              </w:rPr>
              <w:t>AL</w:t>
            </w:r>
            <w:r w:rsidR="007338BB" w:rsidRPr="00801A83">
              <w:rPr>
                <w:rFonts w:ascii="Arial Black" w:eastAsia="Times New Roman" w:hAnsi="Arial Black" w:cs="Calibri"/>
                <w:b/>
                <w:color w:val="auto"/>
                <w:sz w:val="24"/>
                <w:szCs w:val="24"/>
                <w:shd w:val="clear" w:color="auto" w:fill="C3E0F2" w:themeFill="accent3" w:themeFillTint="33"/>
              </w:rPr>
              <w:t>D</w:t>
            </w:r>
          </w:p>
        </w:tc>
        <w:tc>
          <w:tcPr>
            <w:tcW w:w="1329" w:type="pct"/>
            <w:vAlign w:val="center"/>
            <w:hideMark/>
          </w:tcPr>
          <w:p w:rsidR="00782917" w:rsidRPr="00782917" w:rsidRDefault="00782917" w:rsidP="005417FE">
            <w:pPr>
              <w:cnfStyle w:val="000000100000"/>
              <w:rPr>
                <w:rFonts w:ascii="Times New Roman" w:eastAsia="Times New Roman" w:hAnsi="Times New Roman" w:cs="Times New Roman"/>
                <w:sz w:val="24"/>
                <w:szCs w:val="24"/>
              </w:rPr>
            </w:pPr>
            <w:r w:rsidRPr="00782917">
              <w:rPr>
                <w:rFonts w:ascii="Verdana" w:eastAsia="Times New Roman" w:hAnsi="Verdana" w:cs="Times New Roman"/>
                <w:sz w:val="20"/>
                <w:szCs w:val="20"/>
              </w:rPr>
              <w:t>Ex. 28:18, 39:11; Eze. 27:16, 28:13; Rev. 4:3, 21:19</w:t>
            </w:r>
          </w:p>
        </w:tc>
        <w:tc>
          <w:tcPr>
            <w:tcW w:w="0" w:type="auto"/>
            <w:vAlign w:val="center"/>
            <w:hideMark/>
          </w:tcPr>
          <w:p w:rsidR="005417FE" w:rsidRDefault="005417FE" w:rsidP="005417FE">
            <w:pPr>
              <w:cnfStyle w:val="000000100000"/>
              <w:rPr>
                <w:rFonts w:ascii="Verdana" w:eastAsia="Times New Roman" w:hAnsi="Verdana" w:cs="Times New Roman"/>
                <w:sz w:val="20"/>
                <w:szCs w:val="20"/>
              </w:rPr>
            </w:pPr>
          </w:p>
          <w:p w:rsidR="00782917" w:rsidRDefault="00782917" w:rsidP="005417FE">
            <w:pPr>
              <w:cnfStyle w:val="000000100000"/>
              <w:rPr>
                <w:rFonts w:ascii="Verdana" w:eastAsia="Times New Roman" w:hAnsi="Verdana" w:cs="Times New Roman"/>
                <w:sz w:val="20"/>
                <w:szCs w:val="20"/>
              </w:rPr>
            </w:pPr>
            <w:r w:rsidRPr="00782917">
              <w:rPr>
                <w:rFonts w:ascii="Verdana" w:eastAsia="Times New Roman" w:hAnsi="Verdana" w:cs="Times New Roman"/>
                <w:sz w:val="20"/>
                <w:szCs w:val="20"/>
              </w:rPr>
              <w:t>glories of God and His saints, fresh, flourishing, eternal life, growth, integrity, new life, resurrection, increase &amp; prosperity</w:t>
            </w:r>
          </w:p>
          <w:p w:rsidR="005417FE" w:rsidRPr="00782917" w:rsidRDefault="005417FE" w:rsidP="005417FE">
            <w:pPr>
              <w:cnfStyle w:val="000000100000"/>
              <w:rPr>
                <w:rFonts w:ascii="Times New Roman" w:eastAsia="Times New Roman" w:hAnsi="Times New Roman" w:cs="Times New Roman"/>
                <w:sz w:val="24"/>
                <w:szCs w:val="24"/>
              </w:rPr>
            </w:pPr>
          </w:p>
        </w:tc>
        <w:tc>
          <w:tcPr>
            <w:tcW w:w="0" w:type="auto"/>
            <w:vAlign w:val="center"/>
            <w:hideMark/>
          </w:tcPr>
          <w:p w:rsidR="005417FE" w:rsidRDefault="005417FE" w:rsidP="005417FE">
            <w:pPr>
              <w:cnfStyle w:val="000000100000"/>
              <w:rPr>
                <w:rFonts w:ascii="Verdana" w:eastAsia="Times New Roman" w:hAnsi="Verdana" w:cs="Times New Roman"/>
                <w:sz w:val="15"/>
                <w:szCs w:val="15"/>
              </w:rPr>
            </w:pPr>
          </w:p>
          <w:p w:rsidR="00782917" w:rsidRPr="00782917" w:rsidRDefault="000D2470" w:rsidP="005417FE">
            <w:pPr>
              <w:cnfStyle w:val="000000100000"/>
              <w:rPr>
                <w:rFonts w:ascii="Times New Roman" w:eastAsia="Times New Roman" w:hAnsi="Times New Roman" w:cs="Times New Roman"/>
                <w:sz w:val="24"/>
                <w:szCs w:val="24"/>
              </w:rPr>
            </w:pPr>
            <w:r>
              <w:rPr>
                <w:rFonts w:ascii="Verdana" w:eastAsia="Times New Roman" w:hAnsi="Verdana" w:cs="Times New Roman"/>
                <w:sz w:val="15"/>
                <w:szCs w:val="15"/>
              </w:rPr>
              <w:t>A</w:t>
            </w:r>
            <w:r w:rsidR="00782917" w:rsidRPr="00782917">
              <w:rPr>
                <w:rFonts w:ascii="Verdana" w:eastAsia="Times New Roman" w:hAnsi="Verdana" w:cs="Times New Roman"/>
                <w:sz w:val="15"/>
                <w:szCs w:val="15"/>
              </w:rPr>
              <w:t xml:space="preserve"> variety of Beryl. Rich lush medium green heavily included to flawless. The finest qualities are mined in the famous Emerald Belt of Colombia. It is on the Breastplate of the high priest. [Ex. 28:20]</w:t>
            </w:r>
          </w:p>
        </w:tc>
      </w:tr>
      <w:tr w:rsidR="00801A83" w:rsidRPr="00782917" w:rsidTr="00801A83">
        <w:trPr>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JASPER</w:t>
            </w:r>
          </w:p>
        </w:tc>
        <w:tc>
          <w:tcPr>
            <w:tcW w:w="1329" w:type="pct"/>
            <w:vAlign w:val="center"/>
            <w:hideMark/>
          </w:tcPr>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Ex. 28:15&amp;20, 39:13; Eze. 28:13; Rev. 4:3, 21:11,16&amp;18</w:t>
            </w:r>
          </w:p>
        </w:tc>
        <w:tc>
          <w:tcPr>
            <w:tcW w:w="0" w:type="auto"/>
            <w:vAlign w:val="center"/>
            <w:hideMark/>
          </w:tcPr>
          <w:p w:rsidR="005417FE" w:rsidRDefault="005417FE" w:rsidP="005417FE">
            <w:pPr>
              <w:cnfStyle w:val="000000000000"/>
              <w:rPr>
                <w:rFonts w:ascii="Verdana" w:eastAsia="Times New Roman" w:hAnsi="Verdana" w:cs="Times New Roman"/>
                <w:sz w:val="20"/>
                <w:szCs w:val="20"/>
              </w:rPr>
            </w:pPr>
          </w:p>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glory of God, splendor, brightness, magnificence and beauty</w:t>
            </w:r>
          </w:p>
        </w:tc>
        <w:tc>
          <w:tcPr>
            <w:tcW w:w="0" w:type="auto"/>
            <w:vAlign w:val="center"/>
            <w:hideMark/>
          </w:tcPr>
          <w:p w:rsidR="005417FE" w:rsidRDefault="005417FE" w:rsidP="005417FE">
            <w:pPr>
              <w:cnfStyle w:val="000000000000"/>
              <w:rPr>
                <w:rFonts w:ascii="Verdana" w:eastAsia="Times New Roman" w:hAnsi="Verdana" w:cs="Times New Roman"/>
                <w:sz w:val="15"/>
                <w:szCs w:val="15"/>
              </w:rPr>
            </w:pPr>
          </w:p>
          <w:p w:rsidR="00782917" w:rsidRDefault="000D2470" w:rsidP="005417FE">
            <w:pPr>
              <w:cnfStyle w:val="000000000000"/>
              <w:rPr>
                <w:rFonts w:ascii="Verdana" w:eastAsia="Times New Roman" w:hAnsi="Verdana" w:cs="Times New Roman"/>
                <w:sz w:val="15"/>
                <w:szCs w:val="15"/>
              </w:rPr>
            </w:pPr>
            <w:r>
              <w:rPr>
                <w:rFonts w:ascii="Verdana" w:eastAsia="Times New Roman" w:hAnsi="Verdana" w:cs="Times New Roman"/>
                <w:sz w:val="15"/>
                <w:szCs w:val="15"/>
              </w:rPr>
              <w:t>O</w:t>
            </w:r>
            <w:r w:rsidR="00782917" w:rsidRPr="00782917">
              <w:rPr>
                <w:rFonts w:ascii="Verdana" w:eastAsia="Times New Roman" w:hAnsi="Verdana" w:cs="Times New Roman"/>
                <w:sz w:val="15"/>
                <w:szCs w:val="15"/>
              </w:rPr>
              <w:t>paque variety of quartz. Color ranges from green to reddish brown to yellow having a waxy luster. Whether ancient or modern, this is a stone used for signet rings which can be engraved.</w:t>
            </w:r>
          </w:p>
          <w:p w:rsidR="005417FE" w:rsidRPr="00782917" w:rsidRDefault="005417FE" w:rsidP="005417FE">
            <w:pPr>
              <w:cnfStyle w:val="000000000000"/>
              <w:rPr>
                <w:rFonts w:ascii="Times New Roman" w:eastAsia="Times New Roman" w:hAnsi="Times New Roman" w:cs="Times New Roman"/>
                <w:sz w:val="24"/>
                <w:szCs w:val="24"/>
              </w:rPr>
            </w:pPr>
          </w:p>
        </w:tc>
      </w:tr>
      <w:tr w:rsidR="00421AB1" w:rsidRPr="00782917" w:rsidTr="00801A83">
        <w:trPr>
          <w:cnfStyle w:val="000000100000"/>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PEARL</w:t>
            </w:r>
          </w:p>
        </w:tc>
        <w:tc>
          <w:tcPr>
            <w:tcW w:w="1329" w:type="pct"/>
            <w:vAlign w:val="center"/>
            <w:hideMark/>
          </w:tcPr>
          <w:p w:rsidR="00782917" w:rsidRPr="00782917" w:rsidRDefault="00782917" w:rsidP="005417FE">
            <w:pPr>
              <w:cnfStyle w:val="000000100000"/>
              <w:rPr>
                <w:rFonts w:ascii="Times New Roman" w:eastAsia="Times New Roman" w:hAnsi="Times New Roman" w:cs="Times New Roman"/>
                <w:sz w:val="24"/>
                <w:szCs w:val="24"/>
              </w:rPr>
            </w:pPr>
            <w:r w:rsidRPr="00782917">
              <w:rPr>
                <w:rFonts w:ascii="Verdana" w:eastAsia="Times New Roman" w:hAnsi="Verdana" w:cs="Times New Roman"/>
                <w:sz w:val="20"/>
                <w:szCs w:val="20"/>
              </w:rPr>
              <w:t>Job 28:18; Matt. 7:6, 13:45&amp;46; I Tim. 2:9; Rev. 17:4, 18:12, 21:21</w:t>
            </w:r>
          </w:p>
        </w:tc>
        <w:tc>
          <w:tcPr>
            <w:tcW w:w="0" w:type="auto"/>
            <w:vAlign w:val="center"/>
            <w:hideMark/>
          </w:tcPr>
          <w:p w:rsidR="005417FE" w:rsidRDefault="005417FE" w:rsidP="005417FE">
            <w:pPr>
              <w:cnfStyle w:val="000000100000"/>
              <w:rPr>
                <w:rFonts w:ascii="Verdana" w:eastAsia="Times New Roman" w:hAnsi="Verdana" w:cs="Times New Roman"/>
                <w:sz w:val="20"/>
                <w:szCs w:val="20"/>
              </w:rPr>
            </w:pPr>
          </w:p>
          <w:p w:rsidR="00782917" w:rsidRDefault="00782917" w:rsidP="005417FE">
            <w:pPr>
              <w:cnfStyle w:val="000000100000"/>
              <w:rPr>
                <w:rFonts w:ascii="Verdana" w:eastAsia="Times New Roman" w:hAnsi="Verdana" w:cs="Times New Roman"/>
                <w:sz w:val="20"/>
                <w:szCs w:val="20"/>
              </w:rPr>
            </w:pPr>
            <w:r w:rsidRPr="00782917">
              <w:rPr>
                <w:rFonts w:ascii="Verdana" w:eastAsia="Times New Roman" w:hAnsi="Verdana" w:cs="Times New Roman"/>
                <w:sz w:val="20"/>
                <w:szCs w:val="20"/>
              </w:rPr>
              <w:t xml:space="preserve">God's truth, God's people formed through suffering, to endure, and a costly experience. Greek term for pearl "Margaret" meaning lovely gem. </w:t>
            </w:r>
          </w:p>
          <w:p w:rsidR="005417FE" w:rsidRPr="00782917" w:rsidRDefault="005417FE" w:rsidP="005417FE">
            <w:pPr>
              <w:cnfStyle w:val="000000100000"/>
              <w:rPr>
                <w:rFonts w:ascii="Times New Roman" w:eastAsia="Times New Roman" w:hAnsi="Times New Roman" w:cs="Times New Roman"/>
                <w:sz w:val="24"/>
                <w:szCs w:val="24"/>
              </w:rPr>
            </w:pPr>
          </w:p>
        </w:tc>
        <w:tc>
          <w:tcPr>
            <w:tcW w:w="0" w:type="auto"/>
            <w:vAlign w:val="center"/>
            <w:hideMark/>
          </w:tcPr>
          <w:p w:rsidR="005417FE" w:rsidRDefault="005417FE" w:rsidP="005417FE">
            <w:pPr>
              <w:cnfStyle w:val="000000100000"/>
              <w:rPr>
                <w:rFonts w:ascii="Verdana" w:eastAsia="Times New Roman" w:hAnsi="Verdana" w:cs="Times New Roman"/>
                <w:sz w:val="15"/>
                <w:szCs w:val="15"/>
              </w:rPr>
            </w:pPr>
          </w:p>
          <w:p w:rsidR="00782917" w:rsidRPr="00782917" w:rsidRDefault="00782917" w:rsidP="005417FE">
            <w:pPr>
              <w:cnfStyle w:val="000000100000"/>
              <w:rPr>
                <w:rFonts w:ascii="Times New Roman" w:eastAsia="Times New Roman" w:hAnsi="Times New Roman" w:cs="Times New Roman"/>
                <w:sz w:val="24"/>
                <w:szCs w:val="24"/>
              </w:rPr>
            </w:pPr>
            <w:r w:rsidRPr="00782917">
              <w:rPr>
                <w:rFonts w:ascii="Verdana" w:eastAsia="Times New Roman" w:hAnsi="Verdana" w:cs="Times New Roman"/>
                <w:sz w:val="15"/>
                <w:szCs w:val="15"/>
              </w:rPr>
              <w:t xml:space="preserve">If an irritant such as a grain of sand becomes trapped within </w:t>
            </w:r>
            <w:r w:rsidR="005417FE" w:rsidRPr="00782917">
              <w:rPr>
                <w:rFonts w:ascii="Verdana" w:eastAsia="Times New Roman" w:hAnsi="Verdana" w:cs="Times New Roman"/>
                <w:sz w:val="15"/>
                <w:szCs w:val="15"/>
              </w:rPr>
              <w:t>its</w:t>
            </w:r>
            <w:r w:rsidRPr="00782917">
              <w:rPr>
                <w:rFonts w:ascii="Verdana" w:eastAsia="Times New Roman" w:hAnsi="Verdana" w:cs="Times New Roman"/>
                <w:sz w:val="15"/>
                <w:szCs w:val="15"/>
              </w:rPr>
              <w:t xml:space="preserve"> shell, the oyster gradually covers it with layers of nacre, which form the precious pearl inside.</w:t>
            </w:r>
          </w:p>
        </w:tc>
      </w:tr>
      <w:tr w:rsidR="00801A83" w:rsidRPr="00782917" w:rsidTr="00801A83">
        <w:trPr>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RUBY</w:t>
            </w:r>
          </w:p>
        </w:tc>
        <w:tc>
          <w:tcPr>
            <w:tcW w:w="1329" w:type="pct"/>
            <w:vAlign w:val="center"/>
            <w:hideMark/>
          </w:tcPr>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Job 28:18; Prov. 3:15, 8:11, 20:15; Lam. 4:7</w:t>
            </w:r>
          </w:p>
        </w:tc>
        <w:tc>
          <w:tcPr>
            <w:tcW w:w="0" w:type="auto"/>
            <w:vAlign w:val="center"/>
            <w:hideMark/>
          </w:tcPr>
          <w:p w:rsidR="005417FE" w:rsidRDefault="005417FE" w:rsidP="005417FE">
            <w:pPr>
              <w:cnfStyle w:val="000000000000"/>
              <w:rPr>
                <w:rFonts w:ascii="Verdana" w:eastAsia="Times New Roman" w:hAnsi="Verdana" w:cs="Times New Roman"/>
                <w:sz w:val="20"/>
                <w:szCs w:val="20"/>
              </w:rPr>
            </w:pPr>
          </w:p>
          <w:p w:rsidR="00782917" w:rsidRDefault="00782917" w:rsidP="005417FE">
            <w:pPr>
              <w:cnfStyle w:val="000000000000"/>
              <w:rPr>
                <w:rFonts w:ascii="Verdana" w:eastAsia="Times New Roman" w:hAnsi="Verdana" w:cs="Times New Roman"/>
                <w:sz w:val="20"/>
                <w:szCs w:val="20"/>
              </w:rPr>
            </w:pPr>
            <w:r w:rsidRPr="00782917">
              <w:rPr>
                <w:rFonts w:ascii="Verdana" w:eastAsia="Times New Roman" w:hAnsi="Verdana" w:cs="Times New Roman"/>
                <w:sz w:val="20"/>
                <w:szCs w:val="20"/>
              </w:rPr>
              <w:t xml:space="preserve">preciousness, of great value, costly glories, wisdom, and prized treasure </w:t>
            </w:r>
          </w:p>
          <w:p w:rsidR="00E133E7" w:rsidRPr="00782917" w:rsidRDefault="00E133E7" w:rsidP="005417FE">
            <w:pPr>
              <w:cnfStyle w:val="000000000000"/>
              <w:rPr>
                <w:rFonts w:ascii="Times New Roman" w:eastAsia="Times New Roman" w:hAnsi="Times New Roman" w:cs="Times New Roman"/>
                <w:sz w:val="24"/>
                <w:szCs w:val="24"/>
              </w:rPr>
            </w:pPr>
          </w:p>
        </w:tc>
        <w:tc>
          <w:tcPr>
            <w:tcW w:w="0" w:type="auto"/>
            <w:vAlign w:val="center"/>
            <w:hideMark/>
          </w:tcPr>
          <w:p w:rsidR="005417FE" w:rsidRDefault="005417FE" w:rsidP="005417FE">
            <w:pPr>
              <w:cnfStyle w:val="000000000000"/>
              <w:rPr>
                <w:rFonts w:ascii="Verdana" w:eastAsia="Times New Roman" w:hAnsi="Verdana" w:cs="Times New Roman"/>
                <w:sz w:val="15"/>
                <w:szCs w:val="15"/>
              </w:rPr>
            </w:pPr>
          </w:p>
          <w:p w:rsidR="00782917" w:rsidRDefault="000D2470" w:rsidP="005417FE">
            <w:pPr>
              <w:cnfStyle w:val="000000000000"/>
              <w:rPr>
                <w:rFonts w:ascii="Verdana" w:eastAsia="Times New Roman" w:hAnsi="Verdana" w:cs="Times New Roman"/>
                <w:sz w:val="15"/>
                <w:szCs w:val="15"/>
              </w:rPr>
            </w:pPr>
            <w:r w:rsidRPr="00782917">
              <w:rPr>
                <w:rFonts w:ascii="Verdana" w:eastAsia="Times New Roman" w:hAnsi="Verdana" w:cs="Times New Roman"/>
                <w:sz w:val="15"/>
                <w:szCs w:val="15"/>
              </w:rPr>
              <w:t>F</w:t>
            </w:r>
            <w:r w:rsidR="00782917" w:rsidRPr="00782917">
              <w:rPr>
                <w:rFonts w:ascii="Verdana" w:eastAsia="Times New Roman" w:hAnsi="Verdana" w:cs="Times New Roman"/>
                <w:sz w:val="15"/>
                <w:szCs w:val="15"/>
              </w:rPr>
              <w:t>iery, deep-red, transparent form of corundum. Rubies of the finest color come for the Mogok region in Burma, the violet-red (sometimes quite dark) comes principally from Thailand.</w:t>
            </w:r>
          </w:p>
          <w:p w:rsidR="005417FE" w:rsidRPr="00782917" w:rsidRDefault="005417FE" w:rsidP="005417FE">
            <w:pPr>
              <w:cnfStyle w:val="000000000000"/>
              <w:rPr>
                <w:rFonts w:ascii="Times New Roman" w:eastAsia="Times New Roman" w:hAnsi="Times New Roman" w:cs="Times New Roman"/>
                <w:sz w:val="24"/>
                <w:szCs w:val="24"/>
              </w:rPr>
            </w:pPr>
          </w:p>
        </w:tc>
      </w:tr>
      <w:tr w:rsidR="000D2470" w:rsidRPr="00782917" w:rsidTr="00801A83">
        <w:trPr>
          <w:cnfStyle w:val="000000100000"/>
          <w:tblCellSpacing w:w="43" w:type="dxa"/>
        </w:trPr>
        <w:tc>
          <w:tcPr>
            <w:cnfStyle w:val="001000000000"/>
            <w:tcW w:w="836" w:type="pct"/>
            <w:shd w:val="clear" w:color="auto" w:fill="C3E0F2" w:themeFill="accent3" w:themeFillTint="33"/>
            <w:vAlign w:val="center"/>
            <w:hideMark/>
          </w:tcPr>
          <w:p w:rsidR="005417FE" w:rsidRPr="00E133E7" w:rsidRDefault="005417FE" w:rsidP="005417FE">
            <w:pPr>
              <w:rPr>
                <w:rFonts w:ascii="Arial Black" w:eastAsia="Times New Roman" w:hAnsi="Arial Black" w:cs="Calibri"/>
                <w:b/>
                <w:sz w:val="28"/>
                <w:szCs w:val="28"/>
              </w:rPr>
            </w:pPr>
          </w:p>
          <w:p w:rsidR="005417FE" w:rsidRPr="00E133E7" w:rsidRDefault="005417FE" w:rsidP="005417FE">
            <w:pPr>
              <w:rPr>
                <w:rFonts w:ascii="Arial Black" w:eastAsia="Times New Roman" w:hAnsi="Arial Black" w:cs="Calibri"/>
                <w:b/>
                <w:sz w:val="28"/>
                <w:szCs w:val="28"/>
              </w:rPr>
            </w:pPr>
          </w:p>
          <w:p w:rsidR="005417FE" w:rsidRPr="00E133E7" w:rsidRDefault="005417FE" w:rsidP="005417FE">
            <w:pPr>
              <w:rPr>
                <w:rFonts w:ascii="Arial Black" w:eastAsia="Times New Roman" w:hAnsi="Arial Black" w:cs="Calibri"/>
                <w:b/>
                <w:sz w:val="28"/>
                <w:szCs w:val="28"/>
              </w:rPr>
            </w:pPr>
          </w:p>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SAPPHIRE</w:t>
            </w:r>
          </w:p>
        </w:tc>
        <w:tc>
          <w:tcPr>
            <w:tcW w:w="1329" w:type="pct"/>
            <w:vAlign w:val="center"/>
            <w:hideMark/>
          </w:tcPr>
          <w:p w:rsidR="005417FE" w:rsidRDefault="005417FE" w:rsidP="005417FE">
            <w:pPr>
              <w:cnfStyle w:val="000000100000"/>
              <w:rPr>
                <w:rFonts w:ascii="Verdana" w:eastAsia="Times New Roman" w:hAnsi="Verdana" w:cs="Times New Roman"/>
                <w:sz w:val="20"/>
                <w:szCs w:val="20"/>
              </w:rPr>
            </w:pPr>
          </w:p>
          <w:p w:rsidR="005417FE" w:rsidRDefault="005417FE" w:rsidP="005417FE">
            <w:pPr>
              <w:cnfStyle w:val="000000100000"/>
              <w:rPr>
                <w:rFonts w:ascii="Verdana" w:eastAsia="Times New Roman" w:hAnsi="Verdana" w:cs="Times New Roman"/>
                <w:sz w:val="20"/>
                <w:szCs w:val="20"/>
              </w:rPr>
            </w:pPr>
          </w:p>
          <w:p w:rsidR="00782917" w:rsidRDefault="00782917" w:rsidP="005417FE">
            <w:pPr>
              <w:cnfStyle w:val="000000100000"/>
              <w:rPr>
                <w:rFonts w:ascii="Verdana" w:eastAsia="Times New Roman" w:hAnsi="Verdana" w:cs="Times New Roman"/>
                <w:sz w:val="20"/>
                <w:szCs w:val="20"/>
              </w:rPr>
            </w:pPr>
            <w:r w:rsidRPr="00782917">
              <w:rPr>
                <w:rFonts w:ascii="Verdana" w:eastAsia="Times New Roman" w:hAnsi="Verdana" w:cs="Times New Roman"/>
                <w:sz w:val="20"/>
                <w:szCs w:val="20"/>
              </w:rPr>
              <w:t>Ex. 24:10, 28:13&amp;18, 39:11; Job 28:6&amp;16; Lam. 4:7; Isa. 54:11; Eze. 1:26, 10:1, 28:13; Rev. 9:17, 21:19&amp;20</w:t>
            </w:r>
          </w:p>
          <w:p w:rsidR="005417FE" w:rsidRPr="00782917" w:rsidRDefault="005417FE" w:rsidP="005417FE">
            <w:pPr>
              <w:cnfStyle w:val="000000100000"/>
              <w:rPr>
                <w:rFonts w:ascii="Times New Roman" w:eastAsia="Times New Roman" w:hAnsi="Times New Roman" w:cs="Times New Roman"/>
                <w:sz w:val="24"/>
                <w:szCs w:val="24"/>
              </w:rPr>
            </w:pPr>
          </w:p>
        </w:tc>
        <w:tc>
          <w:tcPr>
            <w:tcW w:w="0" w:type="auto"/>
            <w:vAlign w:val="center"/>
            <w:hideMark/>
          </w:tcPr>
          <w:p w:rsidR="005417FE" w:rsidRDefault="005417FE" w:rsidP="005417FE">
            <w:pPr>
              <w:cnfStyle w:val="000000100000"/>
              <w:rPr>
                <w:rFonts w:ascii="Verdana" w:eastAsia="Times New Roman" w:hAnsi="Verdana" w:cs="Times New Roman"/>
                <w:sz w:val="20"/>
                <w:szCs w:val="20"/>
              </w:rPr>
            </w:pPr>
          </w:p>
          <w:p w:rsidR="005417FE" w:rsidRDefault="005417FE" w:rsidP="005417FE">
            <w:pPr>
              <w:cnfStyle w:val="000000100000"/>
              <w:rPr>
                <w:rFonts w:ascii="Verdana" w:eastAsia="Times New Roman" w:hAnsi="Verdana" w:cs="Times New Roman"/>
                <w:sz w:val="20"/>
                <w:szCs w:val="20"/>
              </w:rPr>
            </w:pPr>
          </w:p>
          <w:p w:rsidR="00782917" w:rsidRPr="00782917" w:rsidRDefault="005417FE" w:rsidP="005417FE">
            <w:pPr>
              <w:cnfStyle w:val="000000100000"/>
              <w:rPr>
                <w:rFonts w:ascii="Times New Roman" w:eastAsia="Times New Roman" w:hAnsi="Times New Roman" w:cs="Times New Roman"/>
                <w:sz w:val="24"/>
                <w:szCs w:val="24"/>
              </w:rPr>
            </w:pPr>
            <w:r>
              <w:rPr>
                <w:rFonts w:ascii="Verdana" w:eastAsia="Times New Roman" w:hAnsi="Verdana" w:cs="Times New Roman"/>
                <w:sz w:val="20"/>
                <w:szCs w:val="20"/>
              </w:rPr>
              <w:t>B</w:t>
            </w:r>
            <w:r w:rsidR="00782917" w:rsidRPr="00782917">
              <w:rPr>
                <w:rFonts w:ascii="Verdana" w:eastAsia="Times New Roman" w:hAnsi="Verdana" w:cs="Times New Roman"/>
                <w:sz w:val="20"/>
                <w:szCs w:val="20"/>
              </w:rPr>
              <w:t>eauty, hardness, natural excellence, the flower Hyacinth</w:t>
            </w:r>
          </w:p>
        </w:tc>
        <w:tc>
          <w:tcPr>
            <w:tcW w:w="0" w:type="auto"/>
            <w:vAlign w:val="center"/>
            <w:hideMark/>
          </w:tcPr>
          <w:p w:rsidR="005417FE" w:rsidRDefault="005417FE" w:rsidP="005417FE">
            <w:pPr>
              <w:cnfStyle w:val="000000100000"/>
              <w:rPr>
                <w:rFonts w:ascii="Verdana" w:eastAsia="Times New Roman" w:hAnsi="Verdana" w:cs="Times New Roman"/>
                <w:sz w:val="15"/>
                <w:szCs w:val="15"/>
              </w:rPr>
            </w:pPr>
          </w:p>
          <w:p w:rsidR="005417FE" w:rsidRDefault="005417FE" w:rsidP="005417FE">
            <w:pPr>
              <w:cnfStyle w:val="000000100000"/>
              <w:rPr>
                <w:rFonts w:ascii="Verdana" w:eastAsia="Times New Roman" w:hAnsi="Verdana" w:cs="Times New Roman"/>
                <w:sz w:val="15"/>
                <w:szCs w:val="15"/>
              </w:rPr>
            </w:pPr>
          </w:p>
          <w:p w:rsidR="00782917" w:rsidRPr="00782917" w:rsidRDefault="000D2470" w:rsidP="005417FE">
            <w:pPr>
              <w:cnfStyle w:val="000000100000"/>
              <w:rPr>
                <w:rFonts w:ascii="Times New Roman" w:eastAsia="Times New Roman" w:hAnsi="Times New Roman" w:cs="Times New Roman"/>
                <w:sz w:val="24"/>
                <w:szCs w:val="24"/>
              </w:rPr>
            </w:pPr>
            <w:r>
              <w:rPr>
                <w:rFonts w:ascii="Verdana" w:eastAsia="Times New Roman" w:hAnsi="Verdana" w:cs="Times New Roman"/>
                <w:sz w:val="15"/>
                <w:szCs w:val="15"/>
              </w:rPr>
              <w:t>T</w:t>
            </w:r>
            <w:r w:rsidR="00782917" w:rsidRPr="00782917">
              <w:rPr>
                <w:rFonts w:ascii="Verdana" w:eastAsia="Times New Roman" w:hAnsi="Verdana" w:cs="Times New Roman"/>
                <w:sz w:val="15"/>
                <w:szCs w:val="15"/>
              </w:rPr>
              <w:t>there are many hues of this form of corundum; the most recognized is the "Star of India".</w:t>
            </w:r>
          </w:p>
        </w:tc>
      </w:tr>
      <w:tr w:rsidR="00801A83" w:rsidRPr="00782917" w:rsidTr="00801A83">
        <w:trPr>
          <w:tblCellSpacing w:w="43" w:type="dxa"/>
        </w:trPr>
        <w:tc>
          <w:tcPr>
            <w:cnfStyle w:val="001000000000"/>
            <w:tcW w:w="836" w:type="pct"/>
            <w:shd w:val="clear" w:color="auto" w:fill="C3E0F2" w:themeFill="accent3" w:themeFillTint="33"/>
            <w:vAlign w:val="center"/>
            <w:hideMark/>
          </w:tcPr>
          <w:p w:rsidR="00782917" w:rsidRPr="00782917" w:rsidRDefault="00782917" w:rsidP="005417FE">
            <w:pPr>
              <w:rPr>
                <w:rFonts w:ascii="Arial Black" w:eastAsia="Times New Roman" w:hAnsi="Arial Black" w:cs="Calibri"/>
                <w:b/>
                <w:sz w:val="24"/>
                <w:szCs w:val="24"/>
              </w:rPr>
            </w:pPr>
            <w:r w:rsidRPr="00782917">
              <w:rPr>
                <w:rFonts w:ascii="Arial Black" w:eastAsia="Times New Roman" w:hAnsi="Arial Black" w:cs="Calibri"/>
                <w:b/>
                <w:sz w:val="24"/>
                <w:szCs w:val="24"/>
              </w:rPr>
              <w:t>TOPAZ</w:t>
            </w:r>
          </w:p>
        </w:tc>
        <w:tc>
          <w:tcPr>
            <w:tcW w:w="1329" w:type="pct"/>
            <w:vAlign w:val="center"/>
            <w:hideMark/>
          </w:tcPr>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Ex. 28</w:t>
            </w:r>
            <w:r>
              <w:rPr>
                <w:rFonts w:ascii="Verdana" w:eastAsia="Times New Roman" w:hAnsi="Verdana" w:cs="Times New Roman"/>
                <w:sz w:val="20"/>
                <w:szCs w:val="20"/>
              </w:rPr>
              <w:t>:13&amp;17, 39:10; Job 28:12&amp;19; Eze</w:t>
            </w:r>
            <w:r w:rsidRPr="00782917">
              <w:rPr>
                <w:rFonts w:ascii="Verdana" w:eastAsia="Times New Roman" w:hAnsi="Verdana" w:cs="Times New Roman"/>
                <w:sz w:val="20"/>
                <w:szCs w:val="20"/>
              </w:rPr>
              <w:t>. 28:13; Rev. 21:20</w:t>
            </w:r>
          </w:p>
        </w:tc>
        <w:tc>
          <w:tcPr>
            <w:tcW w:w="0" w:type="auto"/>
            <w:vAlign w:val="center"/>
            <w:hideMark/>
          </w:tcPr>
          <w:p w:rsidR="005417FE" w:rsidRDefault="005417FE" w:rsidP="005417FE">
            <w:pPr>
              <w:cnfStyle w:val="000000000000"/>
              <w:rPr>
                <w:rFonts w:ascii="Verdana" w:eastAsia="Times New Roman" w:hAnsi="Verdana" w:cs="Times New Roman"/>
                <w:sz w:val="20"/>
                <w:szCs w:val="20"/>
              </w:rPr>
            </w:pPr>
          </w:p>
          <w:p w:rsidR="00782917" w:rsidRPr="00782917" w:rsidRDefault="00782917" w:rsidP="005417FE">
            <w:pPr>
              <w:cnfStyle w:val="000000000000"/>
              <w:rPr>
                <w:rFonts w:ascii="Times New Roman" w:eastAsia="Times New Roman" w:hAnsi="Times New Roman" w:cs="Times New Roman"/>
                <w:sz w:val="24"/>
                <w:szCs w:val="24"/>
              </w:rPr>
            </w:pPr>
            <w:r w:rsidRPr="00782917">
              <w:rPr>
                <w:rFonts w:ascii="Verdana" w:eastAsia="Times New Roman" w:hAnsi="Verdana" w:cs="Times New Roman"/>
                <w:sz w:val="20"/>
                <w:szCs w:val="20"/>
              </w:rPr>
              <w:t>beauty, worthiness, precious gem and seasonable</w:t>
            </w:r>
          </w:p>
        </w:tc>
        <w:tc>
          <w:tcPr>
            <w:tcW w:w="0" w:type="auto"/>
            <w:vAlign w:val="center"/>
            <w:hideMark/>
          </w:tcPr>
          <w:p w:rsidR="005417FE" w:rsidRDefault="005417FE" w:rsidP="005417FE">
            <w:pPr>
              <w:cnfStyle w:val="000000000000"/>
              <w:rPr>
                <w:rFonts w:ascii="Verdana" w:eastAsia="Times New Roman" w:hAnsi="Verdana" w:cs="Times New Roman"/>
                <w:sz w:val="15"/>
                <w:szCs w:val="15"/>
              </w:rPr>
            </w:pPr>
          </w:p>
          <w:p w:rsidR="00782917" w:rsidRDefault="000D2470" w:rsidP="005417FE">
            <w:pPr>
              <w:cnfStyle w:val="000000000000"/>
              <w:rPr>
                <w:rFonts w:ascii="Verdana" w:eastAsia="Times New Roman" w:hAnsi="Verdana" w:cs="Times New Roman"/>
                <w:sz w:val="15"/>
                <w:szCs w:val="15"/>
              </w:rPr>
            </w:pPr>
            <w:r>
              <w:rPr>
                <w:rFonts w:ascii="Verdana" w:eastAsia="Times New Roman" w:hAnsi="Verdana" w:cs="Times New Roman"/>
                <w:sz w:val="15"/>
                <w:szCs w:val="15"/>
              </w:rPr>
              <w:t>A</w:t>
            </w:r>
            <w:r w:rsidR="00782917" w:rsidRPr="00782917">
              <w:rPr>
                <w:rFonts w:ascii="Verdana" w:eastAsia="Times New Roman" w:hAnsi="Verdana" w:cs="Times New Roman"/>
                <w:sz w:val="15"/>
                <w:szCs w:val="15"/>
              </w:rPr>
              <w:t xml:space="preserve"> colorless, blue, yellowish brown, or pink, aluminum silicate (mineral). The yellow graduating to pink are the most valued. Mined primarily in Brazil. Fine topaz is not widely used in jewelry due to the cost and rarity of it.</w:t>
            </w:r>
          </w:p>
          <w:p w:rsidR="005417FE" w:rsidRPr="00782917" w:rsidRDefault="005417FE" w:rsidP="005417FE">
            <w:pPr>
              <w:cnfStyle w:val="000000000000"/>
              <w:rPr>
                <w:rFonts w:ascii="Times New Roman" w:eastAsia="Times New Roman" w:hAnsi="Times New Roman" w:cs="Times New Roman"/>
                <w:sz w:val="24"/>
                <w:szCs w:val="24"/>
              </w:rPr>
            </w:pPr>
          </w:p>
        </w:tc>
      </w:tr>
      <w:tr w:rsidR="00782917" w:rsidRPr="00782917" w:rsidTr="000D2470">
        <w:trPr>
          <w:cnfStyle w:val="000000100000"/>
          <w:tblCellSpacing w:w="43" w:type="dxa"/>
        </w:trPr>
        <w:tc>
          <w:tcPr>
            <w:cnfStyle w:val="001000000000"/>
            <w:tcW w:w="0" w:type="auto"/>
            <w:gridSpan w:val="4"/>
            <w:tcBorders>
              <w:top w:val="nil"/>
              <w:left w:val="nil"/>
              <w:bottom w:val="nil"/>
              <w:right w:val="nil"/>
            </w:tcBorders>
            <w:shd w:val="clear" w:color="auto" w:fill="D2CAB6" w:themeFill="background2" w:themeFillShade="E6"/>
            <w:hideMark/>
          </w:tcPr>
          <w:p w:rsidR="000D2470" w:rsidRDefault="000D2470" w:rsidP="00E133E7">
            <w:pPr>
              <w:pStyle w:val="NoSpacing"/>
              <w:jc w:val="center"/>
              <w:rPr>
                <w:rFonts w:ascii="Calibri" w:eastAsia="Times New Roman" w:hAnsi="Calibri" w:cs="Calibri"/>
              </w:rPr>
            </w:pPr>
          </w:p>
          <w:p w:rsidR="00801A83" w:rsidRPr="000D2470" w:rsidRDefault="0028179A" w:rsidP="00E133E7">
            <w:pPr>
              <w:pStyle w:val="NoSpacing"/>
              <w:jc w:val="center"/>
              <w:rPr>
                <w:rFonts w:ascii="Calibri" w:eastAsia="Times New Roman" w:hAnsi="Calibri" w:cs="Calibri"/>
              </w:rPr>
            </w:pPr>
            <w:r w:rsidRPr="000D2470">
              <w:rPr>
                <w:rFonts w:ascii="Calibri" w:eastAsia="Times New Roman" w:hAnsi="Calibri" w:cs="Calibri"/>
              </w:rPr>
              <w:t>(compiled by Lora Rozkowski)</w:t>
            </w:r>
          </w:p>
          <w:p w:rsidR="00E133E7" w:rsidRPr="000D2470" w:rsidRDefault="00E133E7" w:rsidP="00E133E7">
            <w:pPr>
              <w:pStyle w:val="NoSpacing"/>
              <w:jc w:val="center"/>
              <w:rPr>
                <w:rFonts w:ascii="Calibri" w:eastAsia="Times New Roman" w:hAnsi="Calibri" w:cs="Calibri"/>
              </w:rPr>
            </w:pPr>
            <w:r w:rsidRPr="000D2470">
              <w:rPr>
                <w:rFonts w:ascii="Calibri" w:eastAsia="Times New Roman" w:hAnsi="Calibri" w:cs="Calibri"/>
              </w:rPr>
              <w:t>C</w:t>
            </w:r>
            <w:r w:rsidR="00782917" w:rsidRPr="000D2470">
              <w:rPr>
                <w:rFonts w:ascii="Calibri" w:eastAsia="Times New Roman" w:hAnsi="Calibri" w:cs="Calibri"/>
              </w:rPr>
              <w:t>ompliments of:</w:t>
            </w:r>
            <w:r w:rsidR="0028179A" w:rsidRPr="000D2470">
              <w:rPr>
                <w:rFonts w:ascii="Calibri" w:eastAsia="Times New Roman" w:hAnsi="Calibri" w:cs="Calibri"/>
              </w:rPr>
              <w:t xml:space="preserve"> </w:t>
            </w:r>
          </w:p>
          <w:p w:rsidR="00801A83" w:rsidRPr="000D2470" w:rsidRDefault="000D2470" w:rsidP="0028179A">
            <w:pPr>
              <w:pStyle w:val="NoSpacing"/>
              <w:jc w:val="center"/>
              <w:rPr>
                <w:rFonts w:ascii="Calibri" w:eastAsia="Times New Roman" w:hAnsi="Calibri" w:cs="Calibri"/>
                <w:b/>
                <w:noProof/>
                <w:color w:val="B35E06" w:themeColor="accent1" w:themeShade="BF"/>
                <w:sz w:val="40"/>
                <w:szCs w:val="40"/>
              </w:rPr>
            </w:pPr>
            <w:r w:rsidRPr="000D2470">
              <w:rPr>
                <w:rFonts w:ascii="Calibri" w:eastAsia="Times New Roman" w:hAnsi="Calibri" w:cs="Calibri"/>
                <w:b/>
                <w:noProof/>
                <w:color w:val="B35E06" w:themeColor="accent1" w:themeShade="BF"/>
                <w:sz w:val="40"/>
                <w:szCs w:val="40"/>
              </w:rPr>
              <w:t>WORSHIP WARRIORS</w:t>
            </w:r>
          </w:p>
          <w:p w:rsidR="000D2470" w:rsidRDefault="000D2470" w:rsidP="0028179A">
            <w:pPr>
              <w:pStyle w:val="NoSpacing"/>
              <w:jc w:val="center"/>
              <w:rPr>
                <w:rFonts w:ascii="Calibri" w:eastAsia="Times New Roman" w:hAnsi="Calibri" w:cs="Calibri"/>
                <w:noProof/>
                <w:color w:val="000000"/>
                <w:sz w:val="24"/>
                <w:szCs w:val="24"/>
              </w:rPr>
            </w:pPr>
            <w:hyperlink r:id="rId8" w:history="1">
              <w:r w:rsidRPr="000D2470">
                <w:rPr>
                  <w:rStyle w:val="Hyperlink"/>
                  <w:rFonts w:ascii="Calibri" w:eastAsia="Times New Roman" w:hAnsi="Calibri" w:cs="Calibri"/>
                  <w:noProof/>
                  <w:sz w:val="24"/>
                  <w:szCs w:val="24"/>
                </w:rPr>
                <w:t>http://worshipwarriors.net</w:t>
              </w:r>
            </w:hyperlink>
          </w:p>
          <w:p w:rsidR="000D2470" w:rsidRPr="00782917" w:rsidRDefault="000D2470" w:rsidP="0028179A">
            <w:pPr>
              <w:pStyle w:val="NoSpacing"/>
              <w:jc w:val="center"/>
              <w:rPr>
                <w:rFonts w:ascii="Calibri" w:eastAsia="Times New Roman" w:hAnsi="Calibri" w:cs="Calibri"/>
                <w:color w:val="000000"/>
                <w:sz w:val="24"/>
                <w:szCs w:val="24"/>
              </w:rPr>
            </w:pPr>
          </w:p>
        </w:tc>
      </w:tr>
      <w:tr w:rsidR="00E133E7" w:rsidRPr="00782917" w:rsidTr="000D2470">
        <w:trPr>
          <w:tblCellSpacing w:w="43" w:type="dxa"/>
        </w:trPr>
        <w:tc>
          <w:tcPr>
            <w:cnfStyle w:val="001000000000"/>
            <w:tcW w:w="0" w:type="auto"/>
            <w:gridSpan w:val="4"/>
            <w:tcBorders>
              <w:top w:val="nil"/>
              <w:left w:val="nil"/>
              <w:bottom w:val="nil"/>
              <w:right w:val="nil"/>
            </w:tcBorders>
            <w:shd w:val="clear" w:color="auto" w:fill="F2CDD1" w:themeFill="accent2" w:themeFillTint="33"/>
            <w:hideMark/>
          </w:tcPr>
          <w:p w:rsidR="00E133E7" w:rsidRPr="00801A83" w:rsidRDefault="00E133E7" w:rsidP="0028179A">
            <w:pPr>
              <w:pStyle w:val="NoSpacing"/>
              <w:rPr>
                <w:rFonts w:ascii="Cambria" w:eastAsia="Times New Roman" w:hAnsi="Cambria"/>
              </w:rPr>
            </w:pPr>
          </w:p>
        </w:tc>
      </w:tr>
    </w:tbl>
    <w:p w:rsidR="00D76EF8" w:rsidRDefault="00D76EF8" w:rsidP="00782917">
      <w:pPr>
        <w:shd w:val="clear" w:color="auto" w:fill="FFFFFF" w:themeFill="background1"/>
      </w:pPr>
    </w:p>
    <w:sectPr w:rsidR="00D76EF8" w:rsidSect="00801A83">
      <w:pgSz w:w="12240" w:h="15840"/>
      <w:pgMar w:top="360" w:right="720" w:bottom="1350" w:left="720" w:header="9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E3" w:rsidRDefault="00DD51E3" w:rsidP="00782917">
      <w:pPr>
        <w:spacing w:after="0" w:line="240" w:lineRule="auto"/>
      </w:pPr>
      <w:r>
        <w:separator/>
      </w:r>
    </w:p>
  </w:endnote>
  <w:endnote w:type="continuationSeparator" w:id="1">
    <w:p w:rsidR="00DD51E3" w:rsidRDefault="00DD51E3" w:rsidP="00782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E3" w:rsidRDefault="00DD51E3" w:rsidP="00782917">
      <w:pPr>
        <w:spacing w:after="0" w:line="240" w:lineRule="auto"/>
      </w:pPr>
      <w:r>
        <w:separator/>
      </w:r>
    </w:p>
  </w:footnote>
  <w:footnote w:type="continuationSeparator" w:id="1">
    <w:p w:rsidR="00DD51E3" w:rsidRDefault="00DD51E3" w:rsidP="007829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074">
      <o:colormenu v:ext="edit" fillcolor="none [3212]"/>
    </o:shapedefaults>
  </w:hdrShapeDefaults>
  <w:footnotePr>
    <w:footnote w:id="0"/>
    <w:footnote w:id="1"/>
  </w:footnotePr>
  <w:endnotePr>
    <w:endnote w:id="0"/>
    <w:endnote w:id="1"/>
  </w:endnotePr>
  <w:compat/>
  <w:rsids>
    <w:rsidRoot w:val="00782917"/>
    <w:rsid w:val="000D2470"/>
    <w:rsid w:val="0028179A"/>
    <w:rsid w:val="00421AB1"/>
    <w:rsid w:val="00443710"/>
    <w:rsid w:val="005417FE"/>
    <w:rsid w:val="006D0111"/>
    <w:rsid w:val="007338BB"/>
    <w:rsid w:val="00782917"/>
    <w:rsid w:val="00801A83"/>
    <w:rsid w:val="00D76EF8"/>
    <w:rsid w:val="00DD51E3"/>
    <w:rsid w:val="00E133E7"/>
    <w:rsid w:val="00F2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F8"/>
  </w:style>
  <w:style w:type="paragraph" w:styleId="Heading1">
    <w:name w:val="heading 1"/>
    <w:basedOn w:val="Normal"/>
    <w:next w:val="Normal"/>
    <w:link w:val="Heading1Char"/>
    <w:uiPriority w:val="9"/>
    <w:qFormat/>
    <w:rsid w:val="005417FE"/>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17"/>
    <w:rPr>
      <w:color w:val="0000FF"/>
      <w:u w:val="single"/>
    </w:rPr>
  </w:style>
  <w:style w:type="paragraph" w:styleId="Header">
    <w:name w:val="header"/>
    <w:basedOn w:val="Normal"/>
    <w:link w:val="HeaderChar"/>
    <w:uiPriority w:val="99"/>
    <w:semiHidden/>
    <w:unhideWhenUsed/>
    <w:rsid w:val="00782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917"/>
  </w:style>
  <w:style w:type="paragraph" w:styleId="Footer">
    <w:name w:val="footer"/>
    <w:basedOn w:val="Normal"/>
    <w:link w:val="FooterChar"/>
    <w:uiPriority w:val="99"/>
    <w:semiHidden/>
    <w:unhideWhenUsed/>
    <w:rsid w:val="007829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917"/>
  </w:style>
  <w:style w:type="table" w:styleId="TableGrid">
    <w:name w:val="Table Grid"/>
    <w:basedOn w:val="TableNormal"/>
    <w:uiPriority w:val="59"/>
    <w:rsid w:val="00782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1">
    <w:name w:val="Medium Shading 2 Accent 1"/>
    <w:basedOn w:val="TableNormal"/>
    <w:uiPriority w:val="64"/>
    <w:rsid w:val="007829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8291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7338B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3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BB"/>
    <w:rPr>
      <w:rFonts w:ascii="Tahoma" w:hAnsi="Tahoma" w:cs="Tahoma"/>
      <w:sz w:val="16"/>
      <w:szCs w:val="16"/>
    </w:rPr>
  </w:style>
  <w:style w:type="character" w:customStyle="1" w:styleId="Heading1Char">
    <w:name w:val="Heading 1 Char"/>
    <w:basedOn w:val="DefaultParagraphFont"/>
    <w:link w:val="Heading1"/>
    <w:uiPriority w:val="9"/>
    <w:rsid w:val="005417FE"/>
    <w:rPr>
      <w:rFonts w:asciiTheme="majorHAnsi" w:eastAsiaTheme="majorEastAsia" w:hAnsiTheme="majorHAnsi" w:cstheme="majorBidi"/>
      <w:b/>
      <w:bCs/>
      <w:color w:val="B35E06" w:themeColor="accent1" w:themeShade="BF"/>
      <w:sz w:val="28"/>
      <w:szCs w:val="28"/>
    </w:rPr>
  </w:style>
  <w:style w:type="paragraph" w:styleId="NoSpacing">
    <w:name w:val="No Spacing"/>
    <w:uiPriority w:val="1"/>
    <w:qFormat/>
    <w:rsid w:val="00E133E7"/>
    <w:pPr>
      <w:spacing w:after="0" w:line="240" w:lineRule="auto"/>
    </w:pPr>
  </w:style>
</w:styles>
</file>

<file path=word/webSettings.xml><?xml version="1.0" encoding="utf-8"?>
<w:webSettings xmlns:r="http://schemas.openxmlformats.org/officeDocument/2006/relationships" xmlns:w="http://schemas.openxmlformats.org/wordprocessingml/2006/main">
  <w:divs>
    <w:div w:id="4182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shipwarriors.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7A02-AE4D-47DB-BFE0-A19B7055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Rozkowski</dc:creator>
  <cp:lastModifiedBy>Lora Rozkowski</cp:lastModifiedBy>
  <cp:revision>5</cp:revision>
  <cp:lastPrinted>2017-03-31T22:08:00Z</cp:lastPrinted>
  <dcterms:created xsi:type="dcterms:W3CDTF">2017-03-31T21:06:00Z</dcterms:created>
  <dcterms:modified xsi:type="dcterms:W3CDTF">2017-03-31T22:18:00Z</dcterms:modified>
</cp:coreProperties>
</file>